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20929">
      <w:pPr>
        <w:spacing w:before="624" w:beforeLines="200" w:after="624" w:afterLines="20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6"/>
          <w:szCs w:val="36"/>
        </w:rPr>
        <w:t>吴迪副教授在《Angewandte Chemie International Edition》发表研究成果</w:t>
      </w:r>
    </w:p>
    <w:p w14:paraId="7767AEEC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近日，我校化学化工与生命科学学院</w:t>
      </w:r>
      <w:r>
        <w:rPr>
          <w:rFonts w:hint="eastAsia" w:ascii="Times New Roman" w:hAnsi="Times New Roman" w:cs="Times New Roman"/>
          <w:sz w:val="24"/>
          <w:szCs w:val="24"/>
        </w:rPr>
        <w:t>吴迪副</w:t>
      </w:r>
      <w:r>
        <w:rPr>
          <w:rFonts w:ascii="Times New Roman" w:hAnsi="Times New Roman" w:cs="Times New Roman"/>
          <w:sz w:val="24"/>
          <w:szCs w:val="24"/>
        </w:rPr>
        <w:t>教授</w:t>
      </w:r>
      <w:r>
        <w:rPr>
          <w:rFonts w:hint="eastAsia" w:ascii="Times New Roman" w:hAnsi="Times New Roman" w:cs="Times New Roman"/>
          <w:sz w:val="24"/>
          <w:szCs w:val="24"/>
        </w:rPr>
        <w:t>在有机半导体材料领域</w:t>
      </w:r>
      <w:r>
        <w:rPr>
          <w:rFonts w:ascii="Times New Roman" w:hAnsi="Times New Roman" w:cs="Times New Roman"/>
          <w:sz w:val="24"/>
          <w:szCs w:val="24"/>
        </w:rPr>
        <w:t>中取得重要进展，</w:t>
      </w:r>
      <w:r>
        <w:rPr>
          <w:rFonts w:hint="eastAsia" w:ascii="Times New Roman" w:hAnsi="Times New Roman" w:cs="Times New Roman"/>
          <w:sz w:val="24"/>
          <w:szCs w:val="24"/>
        </w:rPr>
        <w:t>开发了一种简便高效的并苯酰亚胺合成策略，利用该策论合成了多酰亚胺并五苯材料，并首次将并苯类材料的应用拓展到有机钾电池中，研究并苯酰亚胺材料储能性能。研究成果以《Synthesis, Stable Radical Anion and Energy Storage Performance of Pentacene Tetraimides》为题</w:t>
      </w:r>
      <w:r>
        <w:rPr>
          <w:rFonts w:ascii="Times New Roman" w:hAnsi="Times New Roman" w:cs="Times New Roman"/>
          <w:sz w:val="24"/>
          <w:szCs w:val="24"/>
        </w:rPr>
        <w:t>发表于国际顶级期刊《</w:t>
      </w:r>
      <w:r>
        <w:rPr>
          <w:rFonts w:hint="eastAsia" w:ascii="Times New Roman" w:hAnsi="Times New Roman" w:cs="Times New Roman"/>
          <w:sz w:val="24"/>
          <w:szCs w:val="24"/>
        </w:rPr>
        <w:t>Angewandte Chemie International Edition</w:t>
      </w:r>
      <w:r>
        <w:rPr>
          <w:rFonts w:ascii="Times New Roman" w:hAnsi="Times New Roman" w:cs="Times New Roman"/>
          <w:sz w:val="24"/>
          <w:szCs w:val="24"/>
        </w:rPr>
        <w:t>》（IF=16.1）上。</w:t>
      </w:r>
      <w:r>
        <w:rPr>
          <w:rFonts w:hint="eastAsia" w:ascii="Times New Roman" w:hAnsi="Times New Roman" w:cs="Times New Roman"/>
          <w:sz w:val="24"/>
          <w:szCs w:val="24"/>
        </w:rPr>
        <w:t>该论文的第一作者是武汉理工大学游晓晓博士，通讯作者是吴迪副教授和夏建龙教授。</w:t>
      </w:r>
    </w:p>
    <w:p w14:paraId="70E780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2628900" cy="1302385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1B722">
      <w:pPr>
        <w:spacing w:after="312" w:afterLines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图一 并苯酰亚胺合成策略及储能性能</w:t>
      </w:r>
    </w:p>
    <w:p w14:paraId="7D4A9AB3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酰亚胺功能化是调控并苯材料光电性质的有效策略，由此获得的并苯酰亚胺类材料具有独特的性能和广阔的应用前景。然而，对并苯结构进行酰亚胺功能化一直面临合成上的巨大挑战。此外，由于缺乏简便高效的合成策略，该类材料的应用研究也局限于有机场效应晶体管（OFET）领域。该研究团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开发了一种简便高效的并苯酰亚胺功能化合成策略，该策略以商业化的萘酰亚胺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(NDI)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为原料，</w:t>
      </w:r>
      <w:r>
        <w:rPr>
          <w:rFonts w:ascii="Times New Roman" w:hAnsi="Times New Roman" w:cs="Times New Roman"/>
          <w:sz w:val="24"/>
          <w:szCs w:val="24"/>
        </w:rPr>
        <w:t>巧妙地通过含α-H的酰亚胺衍生物与邻卤代芳烃发生多重α位芳基化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和脱氢芳构化反应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一锅法</w:t>
      </w:r>
      <w:r>
        <w:rPr>
          <w:rFonts w:ascii="Times New Roman" w:hAnsi="Times New Roman" w:cs="Times New Roman"/>
          <w:sz w:val="24"/>
          <w:szCs w:val="24"/>
        </w:rPr>
        <w:t>实现并苯酰亚胺结构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的合成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利用该策略，成功合成了多酰亚胺并五苯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PeTI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研究发现</w:t>
      </w:r>
      <w:r>
        <w:rPr>
          <w:rFonts w:ascii="Times New Roman" w:hAnsi="Times New Roman" w:cs="Times New Roman"/>
          <w:sz w:val="24"/>
          <w:szCs w:val="24"/>
        </w:rPr>
        <w:t>PeTI具有比母体并五苯分子更窄的带隙、更深的LUMO能级和更好的稳定性。在二茂钴作用下，可以通过单电子还原生成稳定的自由基阴离子PeTI-CoCp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，并利用X射线晶体学证实了其结构。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此外，</w:t>
      </w:r>
      <w:r>
        <w:rPr>
          <w:rFonts w:ascii="Times New Roman" w:hAnsi="Times New Roman" w:cs="Times New Roman"/>
          <w:sz w:val="24"/>
          <w:szCs w:val="24"/>
        </w:rPr>
        <w:t>研究者们对其进行脱烷基（PeTCTI）降低溶解度处理后，将其作为阳极材料应用于有机钾离子电池(OPIB)中，</w:t>
      </w:r>
      <w:r>
        <w:rPr>
          <w:rFonts w:hint="eastAsia" w:ascii="Times New Roman" w:hAnsi="Times New Roman" w:cs="Times New Roman"/>
          <w:sz w:val="24"/>
          <w:szCs w:val="24"/>
        </w:rPr>
        <w:t>首次</w:t>
      </w:r>
      <w:r>
        <w:rPr>
          <w:rFonts w:ascii="Times New Roman" w:hAnsi="Times New Roman" w:cs="Times New Roman"/>
          <w:sz w:val="24"/>
          <w:szCs w:val="24"/>
        </w:rPr>
        <w:t>探索</w:t>
      </w:r>
      <w:r>
        <w:rPr>
          <w:rFonts w:hint="eastAsia" w:ascii="Times New Roman" w:hAnsi="Times New Roman" w:cs="Times New Roman"/>
          <w:sz w:val="24"/>
          <w:szCs w:val="24"/>
        </w:rPr>
        <w:t>了该类材料</w:t>
      </w:r>
      <w:r>
        <w:rPr>
          <w:rFonts w:ascii="Times New Roman" w:hAnsi="Times New Roman" w:cs="Times New Roman"/>
          <w:sz w:val="24"/>
          <w:szCs w:val="24"/>
        </w:rPr>
        <w:t>储能性能。PeTCTI表现出优异的倍率性能(在20 A 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>时最大容量为57%)，超长循环稳定性(在12000次循环中容量保持率为59%)和低平均电位0.72 V(与商用Li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相当)。本研究不仅为并苯酰亚胺类材料提供了一种有效的合成策略，而且扩大了其在电子领域的应用，为该类材料的开发和应用研究提供了新思路。</w:t>
      </w:r>
    </w:p>
    <w:p w14:paraId="5BA5E0E7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该工作得到了国家自然科学基金</w:t>
      </w:r>
      <w:r>
        <w:rPr>
          <w:rFonts w:ascii="Times New Roman" w:hAnsi="Times New Roman" w:cs="Times New Roman"/>
          <w:sz w:val="24"/>
          <w:szCs w:val="24"/>
        </w:rPr>
        <w:t>(21801201, 51773160, 21975194, 22209127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 22175134) </w:t>
      </w:r>
      <w:r>
        <w:rPr>
          <w:rFonts w:hint="eastAsia" w:ascii="Times New Roman" w:hAnsi="Times New Roman" w:cs="Times New Roman"/>
          <w:sz w:val="24"/>
          <w:szCs w:val="24"/>
        </w:rPr>
        <w:t>和湖北省自然科学基金</w:t>
      </w:r>
      <w:r>
        <w:rPr>
          <w:rFonts w:ascii="Times New Roman" w:hAnsi="Times New Roman" w:cs="Times New Roman"/>
          <w:sz w:val="24"/>
          <w:szCs w:val="24"/>
        </w:rPr>
        <w:t xml:space="preserve"> ( 2023AFA014)</w:t>
      </w:r>
      <w:r>
        <w:rPr>
          <w:rFonts w:hint="eastAsia" w:ascii="Times New Roman" w:hAnsi="Times New Roman" w:cs="Times New Roman"/>
          <w:sz w:val="24"/>
          <w:szCs w:val="24"/>
        </w:rPr>
        <w:t>的资助。</w:t>
      </w:r>
      <w:r>
        <w:rPr>
          <w:rFonts w:ascii="Times New Roman" w:hAnsi="Times New Roman" w:cs="Times New Roman"/>
          <w:sz w:val="24"/>
          <w:szCs w:val="24"/>
        </w:rPr>
        <w:t>夏建龙教授对上述工作进行了全面指导和大力支持。</w:t>
      </w:r>
    </w:p>
    <w:p w14:paraId="1B9A4BBF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论文链接：</w:t>
      </w:r>
      <w:r>
        <w:rPr>
          <w:rFonts w:ascii="Times New Roman" w:hAnsi="Times New Roman" w:cs="Times New Roman"/>
          <w:sz w:val="24"/>
          <w:szCs w:val="24"/>
        </w:rPr>
        <w:t>https://doi.org/10.1002/anie.202417362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6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英文样式2"/>
    <w:link w:val="7"/>
    <w:qFormat/>
    <w:uiPriority w:val="0"/>
    <w:pPr>
      <w:spacing w:line="360" w:lineRule="auto"/>
    </w:pPr>
    <w:rPr>
      <w:rFonts w:ascii="Times New Roman" w:hAnsi="Times New Roman" w:eastAsia="Times New Roman" w:cs="宋体"/>
      <w:b/>
      <w:bCs/>
      <w:kern w:val="44"/>
      <w:sz w:val="24"/>
      <w:szCs w:val="44"/>
      <w:lang w:val="en-US" w:eastAsia="zh-CN" w:bidi="ar-SA"/>
    </w:rPr>
  </w:style>
  <w:style w:type="character" w:customStyle="1" w:styleId="7">
    <w:name w:val="英文样式2 Char"/>
    <w:basedOn w:val="5"/>
    <w:link w:val="6"/>
    <w:uiPriority w:val="0"/>
    <w:rPr>
      <w:rFonts w:ascii="Times New Roman" w:hAnsi="Times New Roman" w:eastAsia="Times New Roman"/>
      <w:b/>
      <w:bCs/>
      <w:kern w:val="44"/>
      <w:sz w:val="24"/>
      <w:szCs w:val="4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正文2"/>
    <w:basedOn w:val="1"/>
    <w:link w:val="11"/>
    <w:qFormat/>
    <w:uiPriority w:val="0"/>
    <w:pPr>
      <w:spacing w:after="240" w:line="480" w:lineRule="auto"/>
      <w:ind w:firstLine="200" w:firstLineChars="200"/>
      <w:jc w:val="left"/>
      <w:outlineLvl w:val="0"/>
    </w:pPr>
    <w:rPr>
      <w:rFonts w:ascii="Times New Roman" w:hAnsi="Times New Roman" w:cs="Times New Roman"/>
      <w:b/>
      <w:sz w:val="24"/>
      <w:szCs w:val="24"/>
    </w:rPr>
  </w:style>
  <w:style w:type="character" w:customStyle="1" w:styleId="11">
    <w:name w:val="正文2 字符"/>
    <w:basedOn w:val="5"/>
    <w:link w:val="10"/>
    <w:qFormat/>
    <w:uiPriority w:val="0"/>
    <w:rPr>
      <w:rFonts w:ascii="Times New Roman" w:hAnsi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1089</Characters>
  <Paragraphs>7</Paragraphs>
  <TotalTime>224</TotalTime>
  <ScaleCrop>false</ScaleCrop>
  <LinksUpToDate>false</LinksUpToDate>
  <CharactersWithSpaces>1116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2024-11-15T01:55:00Z</dcterms:created>
  <dc:creator>yxx</dc:creator>
  <cp:lastModifiedBy>momo</cp:lastModifiedBy>
  <dcterms:modified xsi:type="dcterms:W3CDTF">2024-11-15T06:50:52Z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715074C750E642A4B15CE8586373F032_13</vt:lpwstr>
  </property>
  <property fmtid="{D5CDD505-2E9C-101B-9397-08002B2CF9AE}" pid="3" name="KSOProductBuildVer">
    <vt:lpwstr>2052-12.1.0.18912</vt:lpwstr>
  </property>
</Properties>
</file>